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90"/>
        </w:tabs>
        <w:spacing w:after="0" w:lineRule="auto"/>
        <w:rPr>
          <w:highlight w:val="white"/>
        </w:rPr>
      </w:pPr>
      <w:r w:rsidDel="00000000" w:rsidR="00000000" w:rsidRPr="00000000">
        <w:rPr>
          <w:highlight w:val="white"/>
          <w:rtl w:val="0"/>
        </w:rPr>
        <w:t xml:space="preserve">Leveraging Centers for Independent Living (CILs) To Increase Vaccine Access for People with Disabilities </w:t>
      </w:r>
    </w:p>
    <w:p w:rsidR="00000000" w:rsidDel="00000000" w:rsidP="00000000" w:rsidRDefault="00000000" w:rsidRPr="00000000" w14:paraId="00000002">
      <w:pPr>
        <w:pStyle w:val="Title"/>
        <w:spacing w:before="0" w:lineRule="auto"/>
        <w:rPr>
          <w:highlight w:val="white"/>
        </w:rPr>
      </w:pPr>
      <w:r w:rsidDel="00000000" w:rsidR="00000000" w:rsidRPr="00000000">
        <w:rPr>
          <w:highlight w:val="white"/>
          <w:rtl w:val="0"/>
        </w:rPr>
        <w:t xml:space="preserve">Request for Applications (RFA)</w:t>
      </w:r>
    </w:p>
    <w:p w:rsidR="00000000" w:rsidDel="00000000" w:rsidP="00000000" w:rsidRDefault="00000000" w:rsidRPr="00000000" w14:paraId="00000003">
      <w:pPr>
        <w:pStyle w:val="Subtitle"/>
        <w:rPr>
          <w:highlight w:val="white"/>
        </w:rPr>
      </w:pPr>
      <w:r w:rsidDel="00000000" w:rsidR="00000000" w:rsidRPr="00000000">
        <w:rPr>
          <w:highlight w:val="white"/>
          <w:rtl w:val="0"/>
        </w:rPr>
        <w:t xml:space="preserve">Issued By</w:t>
      </w:r>
    </w:p>
    <w:p w:rsidR="00000000" w:rsidDel="00000000" w:rsidP="00000000" w:rsidRDefault="00000000" w:rsidRPr="00000000" w14:paraId="00000004">
      <w:pPr>
        <w:pStyle w:val="Subtitle"/>
        <w:spacing w:before="0" w:lineRule="auto"/>
        <w:rPr>
          <w:highlight w:val="white"/>
        </w:rPr>
      </w:pPr>
      <w:r w:rsidDel="00000000" w:rsidR="00000000" w:rsidRPr="00000000">
        <w:rPr>
          <w:highlight w:val="white"/>
          <w:rtl w:val="0"/>
        </w:rPr>
        <w:t xml:space="preserve">Disability Vaccine Access Opportunities Center (DVAO Center)</w:t>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pStyle w:val="Subtitle"/>
        <w:spacing w:before="0" w:lineRule="auto"/>
        <w:rPr>
          <w:highlight w:val="white"/>
        </w:rPr>
      </w:pPr>
      <w:r w:rsidDel="00000000" w:rsidR="00000000" w:rsidRPr="00000000">
        <w:rPr>
          <w:highlight w:val="white"/>
          <w:rtl w:val="0"/>
        </w:rPr>
        <w:t xml:space="preserve">A Partnership Of</w:t>
      </w:r>
    </w:p>
    <w:p w:rsidR="00000000" w:rsidDel="00000000" w:rsidP="00000000" w:rsidRDefault="00000000" w:rsidRPr="00000000" w14:paraId="00000007">
      <w:pPr>
        <w:pStyle w:val="Subtitle"/>
        <w:spacing w:before="0" w:lineRule="auto"/>
        <w:rPr>
          <w:highlight w:val="white"/>
        </w:rPr>
      </w:pPr>
      <w:r w:rsidDel="00000000" w:rsidR="00000000" w:rsidRPr="00000000">
        <w:rPr>
          <w:highlight w:val="white"/>
          <w:rtl w:val="0"/>
        </w:rPr>
        <w:t xml:space="preserve">Able South Carolina</w:t>
      </w:r>
    </w:p>
    <w:p w:rsidR="00000000" w:rsidDel="00000000" w:rsidP="00000000" w:rsidRDefault="00000000" w:rsidRPr="00000000" w14:paraId="00000008">
      <w:pPr>
        <w:pStyle w:val="Subtitle"/>
        <w:spacing w:before="0" w:lineRule="auto"/>
        <w:rPr>
          <w:highlight w:val="white"/>
        </w:rPr>
      </w:pPr>
      <w:r w:rsidDel="00000000" w:rsidR="00000000" w:rsidRPr="00000000">
        <w:rPr>
          <w:highlight w:val="white"/>
          <w:rtl w:val="0"/>
        </w:rPr>
        <w:t xml:space="preserve">ILRU (Independent Living Research Utilization) at TIRR Memorial Hermann</w:t>
      </w:r>
    </w:p>
    <w:p w:rsidR="00000000" w:rsidDel="00000000" w:rsidP="00000000" w:rsidRDefault="00000000" w:rsidRPr="00000000" w14:paraId="00000009">
      <w:pPr>
        <w:pStyle w:val="Subtitle"/>
        <w:spacing w:before="0" w:lineRule="auto"/>
        <w:rPr>
          <w:highlight w:val="white"/>
        </w:rPr>
      </w:pPr>
      <w:r w:rsidDel="00000000" w:rsidR="00000000" w:rsidRPr="00000000">
        <w:rPr>
          <w:highlight w:val="white"/>
          <w:rtl w:val="0"/>
        </w:rPr>
        <w:t xml:space="preserve">CDC Foundation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Subtitle"/>
        <w:spacing w:before="0" w:lineRule="auto"/>
        <w:rPr/>
      </w:pPr>
      <w:r w:rsidDel="00000000" w:rsidR="00000000" w:rsidRPr="00000000">
        <w:rPr>
          <w:rtl w:val="0"/>
        </w:rPr>
        <w:t xml:space="preserve">Date Issued: January 10, 2022</w:t>
      </w:r>
    </w:p>
    <w:p w:rsidR="00000000" w:rsidDel="00000000" w:rsidP="00000000" w:rsidRDefault="00000000" w:rsidRPr="00000000" w14:paraId="0000000C">
      <w:pPr>
        <w:pStyle w:val="Subtitle"/>
        <w:spacing w:before="0" w:lineRule="auto"/>
        <w:rPr>
          <w:highlight w:val="yellow"/>
        </w:rPr>
      </w:pPr>
      <w:r w:rsidDel="00000000" w:rsidR="00000000" w:rsidRPr="00000000">
        <w:rPr>
          <w:rtl w:val="0"/>
        </w:rPr>
        <w:t xml:space="preserve">Date Due: January 24, 2022</w:t>
      </w: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rtl w:val="0"/>
        </w:rPr>
      </w:r>
    </w:p>
    <w:p w:rsidR="00000000" w:rsidDel="00000000" w:rsidP="00000000" w:rsidRDefault="00000000" w:rsidRPr="00000000" w14:paraId="0000000E">
      <w:pPr>
        <w:pStyle w:val="Subtitle"/>
        <w:spacing w:before="0" w:lineRule="auto"/>
        <w:rPr>
          <w:highlight w:val="white"/>
        </w:rPr>
      </w:pPr>
      <w:r w:rsidDel="00000000" w:rsidR="00000000" w:rsidRPr="00000000">
        <w:rPr>
          <w:highlight w:val="white"/>
          <w:rtl w:val="0"/>
        </w:rPr>
        <w:t xml:space="preserve">Disability Vaccine Access Opportunities Center </w:t>
      </w:r>
    </w:p>
    <w:p w:rsidR="00000000" w:rsidDel="00000000" w:rsidP="00000000" w:rsidRDefault="00000000" w:rsidRPr="00000000" w14:paraId="0000000F">
      <w:pPr>
        <w:pStyle w:val="Subtitle"/>
        <w:spacing w:before="0" w:lineRule="auto"/>
        <w:rPr>
          <w:highlight w:val="whit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0"/>
        </w:sectPr>
      </w:pPr>
      <w:r w:rsidDel="00000000" w:rsidR="00000000" w:rsidRPr="00000000">
        <w:rPr>
          <w:highlight w:val="white"/>
          <w:rtl w:val="0"/>
        </w:rPr>
        <w:t xml:space="preserve">CONTACT: Anna Henry at </w:t>
      </w:r>
      <w:hyperlink r:id="rId13">
        <w:r w:rsidDel="00000000" w:rsidR="00000000" w:rsidRPr="00000000">
          <w:rPr>
            <w:color w:val="0563c1"/>
            <w:highlight w:val="white"/>
            <w:u w:val="single"/>
            <w:rtl w:val="0"/>
          </w:rPr>
          <w:t xml:space="preserve">anna.henry@memorialhermann.org</w:t>
        </w:r>
      </w:hyperlink>
      <w:r w:rsidDel="00000000" w:rsidR="00000000" w:rsidRPr="00000000">
        <w:rPr>
          <w:highlight w:val="white"/>
          <w:rtl w:val="0"/>
        </w:rPr>
        <w:t xml:space="preserve"> </w:t>
      </w:r>
    </w:p>
    <w:p w:rsidR="00000000" w:rsidDel="00000000" w:rsidP="00000000" w:rsidRDefault="00000000" w:rsidRPr="00000000" w14:paraId="00000010">
      <w:pPr>
        <w:pStyle w:val="Title"/>
        <w:spacing w:after="0" w:lineRule="auto"/>
        <w:rPr>
          <w:highlight w:val="white"/>
        </w:rPr>
      </w:pPr>
      <w:r w:rsidDel="00000000" w:rsidR="00000000" w:rsidRPr="00000000">
        <w:rPr>
          <w:highlight w:val="white"/>
          <w:rtl w:val="0"/>
        </w:rPr>
        <w:t xml:space="preserve">Leveraging Centers for Independent Living (CILs) To Increase Vaccine Access for People with Disabilities </w:t>
      </w:r>
    </w:p>
    <w:p w:rsidR="00000000" w:rsidDel="00000000" w:rsidP="00000000" w:rsidRDefault="00000000" w:rsidRPr="00000000" w14:paraId="00000011">
      <w:pPr>
        <w:pStyle w:val="Title"/>
        <w:spacing w:before="0" w:lineRule="auto"/>
        <w:rPr>
          <w:highlight w:val="white"/>
        </w:rPr>
      </w:pPr>
      <w:r w:rsidDel="00000000" w:rsidR="00000000" w:rsidRPr="00000000">
        <w:rPr>
          <w:highlight w:val="white"/>
          <w:rtl w:val="0"/>
        </w:rPr>
        <w:t xml:space="preserve">Request for Applications (RFA)</w:t>
      </w:r>
    </w:p>
    <w:p w:rsidR="00000000" w:rsidDel="00000000" w:rsidP="00000000" w:rsidRDefault="00000000" w:rsidRPr="00000000" w14:paraId="00000012">
      <w:pPr>
        <w:pStyle w:val="Heading1"/>
        <w:rPr/>
      </w:pPr>
      <w:r w:rsidDel="00000000" w:rsidR="00000000" w:rsidRPr="00000000">
        <w:rPr>
          <w:highlight w:val="white"/>
          <w:rtl w:val="0"/>
        </w:rPr>
        <w:t xml:space="preserve">1. Disability Vaccine Access Opportunities Center (DVAO Center)</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Disability Vaccine Access Opportunities Center is operated with funding granted by the CDC Foundation and awarded to Able South Carolina. The principal collaborator with Able South Carolina is ILRU (Independent Living Research Utilization). Funding for this effort is supported by the Centers for Disease Control and Prevention of the U.S. Department of Health and Human Services (HHS).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South Carolina (Able SC): Able SC is a change agent committed to fostering an equitable society that empowers individuals with disabilities to live fully engaged and self-directed lives. Able SC is a national leader at providing innovative IL programs. To learn more about Able SC's programs and services, visit </w:t>
      </w:r>
      <w:hyperlink r:id="rId1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www.able-sc.org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Independent Living Research Utilization (ILRU): ILRU, founded in 1977, has a long history of providing research, education, and consultation in the areas of independent living, home and community-based services, and the Americans with Disabilities Act. To learn more about ILRU, visit </w:t>
      </w: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www.ilru.org</w:t>
        </w:r>
      </w:hyperlink>
      <w:r w:rsidDel="00000000" w:rsidR="00000000" w:rsidRPr="00000000">
        <w:rPr>
          <w:rFonts w:ascii="Times New Roman" w:cs="Times New Roman" w:eastAsia="Times New Roman" w:hAnsi="Times New Roman"/>
          <w:b w:val="0"/>
          <w:i w:val="1"/>
          <w:smallCaps w:val="0"/>
          <w:strike w:val="0"/>
          <w:color w:val="00b05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host organization for ILRU is The Institute for Rehabilitation and Research, TIRR Memorial Hermann Health System.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CDC Foundation: The CDC Foundation is a nonprofit authorized by Congress to mobilize philanthropic partners and private-sector resources to support CDC's critical health protection mission. Since 1995, the CDC Foundation has raised over $1.2 billion and launched more than 1,200 programs impacting a variety of health threats from chronic disease conditions, infectious diseases, emergency responses, including COVID-19 and Ebola. The CDC Foundation managed hundreds of programs in the United States and in more than 140 countries last year.</w:t>
      </w:r>
    </w:p>
    <w:p w:rsidR="00000000" w:rsidDel="00000000" w:rsidP="00000000" w:rsidRDefault="00000000" w:rsidRPr="00000000" w14:paraId="00000017">
      <w:pPr>
        <w:pStyle w:val="Heading1"/>
        <w:rPr>
          <w:highlight w:val="white"/>
        </w:rPr>
      </w:pPr>
      <w:r w:rsidDel="00000000" w:rsidR="00000000" w:rsidRPr="00000000">
        <w:rPr>
          <w:highlight w:val="white"/>
          <w:rtl w:val="0"/>
        </w:rPr>
        <w:t xml:space="preserve">2. Challenge Statement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 estimated 61 million adults living in the U.S. have a disability, representing nearly 26% of the adult population. Disability alone may not be related to increased risk for contracting COVID-19; however, some people with disabilities are at increased risk for contracting COVID-19 based on where they live, and/or because of difficulty complying with mitigation strategies. The presence of underlying medical conditions puts others at increased risk for severe illness. Vaccinating people with disabilities poses unique challenges including ensuring physical accessibility of vaccination sites. To address these challenges, the funders and DVAO Center leaders believe successful vaccine programs for people with disabilities will best be achieved through collaboration with centers for independent living (CILs), disability-led organizations that are subject matter experts, and recognized leaders in their communities.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CDC Foundation and the DVAO Center intend to build the capacity of community-based organizations by providing tools, resources, and support to ensure equitable access to COVID-19 vaccines for people with disabilities. </w:t>
      </w:r>
    </w:p>
    <w:p w:rsidR="00000000" w:rsidDel="00000000" w:rsidP="00000000" w:rsidRDefault="00000000" w:rsidRPr="00000000" w14:paraId="0000001A">
      <w:pPr>
        <w:pStyle w:val="Heading1"/>
        <w:rPr>
          <w:highlight w:val="white"/>
        </w:rPr>
      </w:pPr>
      <w:r w:rsidDel="00000000" w:rsidR="00000000" w:rsidRPr="00000000">
        <w:rPr>
          <w:highlight w:val="white"/>
          <w:rtl w:val="0"/>
        </w:rPr>
        <w:t xml:space="preserve">3.  Grant Details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DVAO Center is supported by grant funds awarded to Able SC through a collaboration with ILRU. Approximately $6,372,572 in funding has been made available to CILs to improve access to COVID-19 vaccines for people with disabilities throughout the country. </w:t>
      </w:r>
    </w:p>
    <w:p w:rsidR="00000000" w:rsidDel="00000000" w:rsidP="00000000" w:rsidRDefault="00000000" w:rsidRPr="00000000" w14:paraId="0000001C">
      <w:pPr>
        <w:rPr/>
      </w:pPr>
      <w:r w:rsidDel="00000000" w:rsidR="00000000" w:rsidRPr="00000000">
        <w:rPr>
          <w:rFonts w:ascii="Times New Roman" w:cs="Times New Roman" w:eastAsia="Times New Roman" w:hAnsi="Times New Roman"/>
          <w:sz w:val="24"/>
          <w:szCs w:val="24"/>
          <w:rtl w:val="0"/>
        </w:rPr>
        <w:t xml:space="preserve">The original intent of this grant was to provide funds to increase COVID-19 vaccine access for people with disabilities by supporting part B CILs that did not receive CARES Act funding. The CDC Foundation with the approval of the Centers for Disease Control and Prevention (CDC) has expanded this funding opportunity to include: Part B CILs operating under a Part C CIL; Part C CILs not previously eligible for CARES Act funding in fiscal year 2020; and any Part B or Part C CIL to improve COVID-19 vaccine access in unserved counties.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Awards of up to $50,000 are anticipated.</w:t>
      </w:r>
    </w:p>
    <w:p w:rsidR="00000000" w:rsidDel="00000000" w:rsidP="00000000" w:rsidRDefault="00000000" w:rsidRPr="00000000" w14:paraId="0000001E">
      <w:pPr>
        <w:pStyle w:val="Heading2"/>
        <w:rPr>
          <w:highlight w:val="white"/>
        </w:rPr>
      </w:pPr>
      <w:r w:rsidDel="00000000" w:rsidR="00000000" w:rsidRPr="00000000">
        <w:rPr>
          <w:highlight w:val="white"/>
          <w:rtl w:val="0"/>
        </w:rPr>
        <w:t xml:space="preserve">What we will fund: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DVAO seeks applications from CILs to:</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Improve access and education to COVID-19 vaccines for people with disabilities.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Increase numbers of people with disabilities reached, including wide demographic distribution.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Increase numbers of vaccination appointments scheduled.</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Increase numbers of accessible transportation appointments arranged.</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Increase numbers of referrals made to the national disability call center/hotline.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and participate in technical assistance, including webinars and trainings, when made available from DVAOC.</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Utilize DVAO pre-developed vaccine education toolkit and materials.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Participate in reporting and information gathering sessions with partners to provide best practices to reach people with disabilities.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 with local health departments (LHDs) and/or local providers to connect individuals to COVID-19 vaccines (e.g., existing clinics, improving accessibility of clinics, scheduling).  </w:t>
      </w:r>
    </w:p>
    <w:p w:rsidR="00000000" w:rsidDel="00000000" w:rsidP="00000000" w:rsidRDefault="00000000" w:rsidRPr="00000000" w14:paraId="00000029">
      <w:pPr>
        <w:pStyle w:val="Heading2"/>
        <w:rPr>
          <w:highlight w:val="white"/>
        </w:rPr>
      </w:pPr>
      <w:r w:rsidDel="00000000" w:rsidR="00000000" w:rsidRPr="00000000">
        <w:rPr>
          <w:highlight w:val="white"/>
          <w:rtl w:val="0"/>
        </w:rPr>
        <w:t xml:space="preserve">What we will NOT fund:</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Ongoing operating costs, unrelated to supporting project activities;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Capital improvements, unrelated to furthering project activities; or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Political/lobbying activities.</w:t>
      </w:r>
    </w:p>
    <w:p w:rsidR="00000000" w:rsidDel="00000000" w:rsidP="00000000" w:rsidRDefault="00000000" w:rsidRPr="00000000" w14:paraId="0000002D">
      <w:pPr>
        <w:pStyle w:val="Heading2"/>
        <w:rPr>
          <w:highlight w:val="white"/>
        </w:rPr>
      </w:pPr>
      <w:r w:rsidDel="00000000" w:rsidR="00000000" w:rsidRPr="00000000">
        <w:rPr>
          <w:highlight w:val="white"/>
          <w:rtl w:val="0"/>
        </w:rPr>
        <w:t xml:space="preserve">Funding specifics: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Grants will not exceed $50,000 and awards will be made up to 100 or more CILs across the nation.</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funding must be used for the project described in the grantee’s application and must be expended between the date of award decision and June 30, 2022.</w:t>
      </w:r>
    </w:p>
    <w:p w:rsidR="00000000" w:rsidDel="00000000" w:rsidP="00000000" w:rsidRDefault="00000000" w:rsidRPr="00000000" w14:paraId="00000030">
      <w:pPr>
        <w:pStyle w:val="Heading1"/>
        <w:rPr>
          <w:highlight w:val="white"/>
        </w:rPr>
      </w:pPr>
      <w:r w:rsidDel="00000000" w:rsidR="00000000" w:rsidRPr="00000000">
        <w:rPr>
          <w:highlight w:val="white"/>
          <w:rtl w:val="0"/>
        </w:rPr>
        <w:t xml:space="preserve">4. Eligibility Requirements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apply, the applicant must be a Center for Independent Living. Centers for independent living are consumer-controlled, community-based, cross-disability, nonresidential, private nonprofit agencies for individuals with significant disabilities (regardless of age or income) that are designed and operated within a local community by individuals with disabilities and provide an array of IL services as defined in section 7(18) of the Rehabilitation Act as amended by the Workforce Innovation and Opportunity Act (WIOA).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is open to:</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CILs located in one of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states, territories, or the District of Columbia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56 jurisdictions of the United States)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CILs which receive funding through the designated state entity authorized by Title VII, Part B of the Rehabilitation Act or other Independent Living funding</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B CILs operating under a Part C CIL or that uses a Part C CIL as a fiscal agent.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bookmarkStart w:colFirst="0" w:colLast="0" w:name="_heading=h.1fob9te"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C CILs not previously eligible for CARES Act funding in fiscal year 2020.</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Part B or Part C CIL applying for funding to improve COVID-19 vaccine access in unserved counties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(eligible to use funds in unserved counties only).</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1"/>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highlight w:val="white"/>
          <w:rtl w:val="0"/>
        </w:rPr>
        <w:t xml:space="preserve">5. Instructions to Applicants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apply, visit </w:t>
      </w:r>
      <w:hyperlink r:id="rId1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the online application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12:00 pm (Noon) EDT on </w:t>
      </w: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January 24, 2022. Applicants must upload the following with their application: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Eligibility Certification Form</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recent annual budget</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applicants must provide one of the following three financial documents at the time of application:</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recent Transmittal Letter for the organization’s annual audit </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recent IRS Form 990 (Return of Organization Exempt from Income Tax)</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recent year-end financial statement (if applicable)</w:t>
      </w:r>
    </w:p>
    <w:p w:rsidR="00000000" w:rsidDel="00000000" w:rsidP="00000000" w:rsidRDefault="00000000" w:rsidRPr="00000000" w14:paraId="00000042">
      <w:pPr>
        <w:numPr>
          <w:ilvl w:val="1"/>
          <w:numId w:val="1"/>
        </w:numPr>
        <w:shd w:fill="ffffff" w:val="clea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Attestation Document affirming funds will only be used for COVID-related activities performed in unserved counties. (Part C CILs only)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IRS determination letter - letter from the IRS confirming 501(c)(3) status, or the verification provided from the IRS website. (Organizations that have received 501(c)(3) status are exempt from federal taxes. To receive this status, the organization must operate for a specific purpose--typically, for a charitable, religious, scientific, or literary purpose. Should your organization need assistance with this information, please contact the IRS at 877-829-5500. (There is no cost to obtain this information from the IRS.).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and budget justification (see example budget and budget justification in Appendix A).</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Certificate of Liability Insurance by date of the award.</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Vendor status verification: U.S. System Award Management (SAM), or equivalent, search results for overall organization and individuals designated to this proposal. All applicants must have a DUNS number (</w:t>
      </w:r>
      <w:hyperlink r:id="rId17">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https://fedgov.dnb.com/webform/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be registered with the System for Award Management (SAM, </w:t>
      </w:r>
      <w:hyperlink r:id="rId18">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www.sam.gov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maintain an active SAM registration until the application process is complete, and should a grant be made, throughout the life of the award.  Applicants should allot sufficient time prior to the application deadline to finalize a new or renew an existing registration. This action should allow you time to resolve any issues that may arise. Failure to comply with these requirements may result in your inability to submit your application or receive an award. Maintain documentation (with dates) of your efforts to register or renew at least two weeks before the deadline. See the SAM Quick Guide for Grantees at: </w:t>
      </w:r>
      <w:hyperlink r:id="rId19">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https://www.sam.gov/SAM/pages/public/help/samQUserGuides.jsf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questions should be directed to Anna Henry, Manager of Research Operations at ILRU at </w:t>
      </w:r>
      <w:hyperlink r:id="rId2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anna.henry@memorialhermann.org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pStyle w:val="Heading1"/>
        <w:rPr>
          <w:highlight w:val="white"/>
        </w:rPr>
      </w:pPr>
      <w:r w:rsidDel="00000000" w:rsidR="00000000" w:rsidRPr="00000000">
        <w:rPr>
          <w:highlight w:val="white"/>
          <w:rtl w:val="0"/>
        </w:rPr>
        <w:t xml:space="preserve">6. Application Review Criteria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keep in line with the original intent of the grant, priority will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given to part B CILs that apply. The application must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address the following criteria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pStyle w:val="Heading2"/>
        <w:rPr/>
      </w:pPr>
      <w:r w:rsidDel="00000000" w:rsidR="00000000" w:rsidRPr="00000000">
        <w:rPr>
          <w:rtl w:val="0"/>
        </w:rPr>
        <w:t xml:space="preserve">Background/Need – Scoring Weight: 15% (375 words)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current needs related to vaccines in your community.</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barriers people with disabilities are experiencing in your community related to vaccines?</w:t>
      </w:r>
    </w:p>
    <w:p w:rsidR="00000000" w:rsidDel="00000000" w:rsidP="00000000" w:rsidRDefault="00000000" w:rsidRPr="00000000" w14:paraId="0000004E">
      <w:pPr>
        <w:pStyle w:val="Heading2"/>
        <w:rPr/>
      </w:pPr>
      <w:r w:rsidDel="00000000" w:rsidR="00000000" w:rsidRPr="00000000">
        <w:rPr>
          <w:rtl w:val="0"/>
        </w:rPr>
        <w:t xml:space="preserve">Project Approach – Scoring Weight: 40% (1000 words)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approaches and solutions your CIL would implement to increase vaccine access.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other organizations will you work with to improve vaccine access?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your organization ensure that the proposed approach(es) to increase vaccine access are culturally and linguistically inclusive?</w:t>
      </w:r>
    </w:p>
    <w:p w:rsidR="00000000" w:rsidDel="00000000" w:rsidP="00000000" w:rsidRDefault="00000000" w:rsidRPr="00000000" w14:paraId="00000052">
      <w:pPr>
        <w:pStyle w:val="Heading2"/>
        <w:rPr/>
      </w:pPr>
      <w:r w:rsidDel="00000000" w:rsidR="00000000" w:rsidRPr="00000000">
        <w:rPr>
          <w:rtl w:val="0"/>
        </w:rPr>
        <w:t xml:space="preserve">Organizational Capacity and Staffing – Scoring Weight: 30% (750 words)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background information on your CIL, including but not limited to service area/communities you serve, mission and vision, and programs and services you provide.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activities you have conducted to help people with disabilities to receive the COVID-19 vaccine.</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your experience implementing community-based programs and/or initiatives.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brief description of personnel that will be supporting the program.</w:t>
      </w:r>
    </w:p>
    <w:p w:rsidR="00000000" w:rsidDel="00000000" w:rsidP="00000000" w:rsidRDefault="00000000" w:rsidRPr="00000000" w14:paraId="00000057">
      <w:pPr>
        <w:pStyle w:val="Heading2"/>
        <w:rPr/>
      </w:pPr>
      <w:r w:rsidDel="00000000" w:rsidR="00000000" w:rsidRPr="00000000">
        <w:rPr>
          <w:rtl w:val="0"/>
        </w:rPr>
        <w:t xml:space="preserve">Evaluation – Scoring Weight: 15% (375 words)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you measure the impact of this project (e.g., increased outreach to consumers, improved knowledge, increased number of vaccination appointments scheduled)?</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you will collect demographic information on individuals assisted (Age, Gender, Race, Ethnicity, Disability, Zip code).</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you will track numbers of referrals, resources shared, and individuals provided education and assisted with vaccination, where applicable.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you will collect data about the number of people you are educating and to whom you are providing information.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you will document, and report successes, key strategies and lessons learned to inform vaccine planning and implementation efforts for people with disabilities.</w:t>
      </w:r>
    </w:p>
    <w:p w:rsidR="00000000" w:rsidDel="00000000" w:rsidP="00000000" w:rsidRDefault="00000000" w:rsidRPr="00000000" w14:paraId="0000005D">
      <w:pPr>
        <w:pStyle w:val="Heading2"/>
        <w:rPr>
          <w:rFonts w:ascii="Times New Roman" w:cs="Times New Roman" w:eastAsia="Times New Roman" w:hAnsi="Times New Roman"/>
          <w:sz w:val="24"/>
          <w:szCs w:val="24"/>
        </w:rPr>
      </w:pPr>
      <w:r w:rsidDel="00000000" w:rsidR="00000000" w:rsidRPr="00000000">
        <w:rPr>
          <w:rtl w:val="0"/>
        </w:rPr>
        <w:t xml:space="preserve">Budget and Budget Justification – Scoring Weight: Unscored</w:t>
      </w:r>
      <w:r w:rsidDel="00000000" w:rsidR="00000000" w:rsidRPr="00000000">
        <w:rPr>
          <w:rtl w:val="0"/>
        </w:rPr>
      </w:r>
    </w:p>
    <w:p w:rsidR="00000000" w:rsidDel="00000000" w:rsidP="00000000" w:rsidRDefault="00000000" w:rsidRPr="00000000" w14:paraId="0000005E">
      <w:pPr>
        <w:numPr>
          <w:ilvl w:val="0"/>
          <w:numId w:val="1"/>
        </w:numPr>
        <w:shd w:fill="ffffff" w:val="clear"/>
        <w:spacing w:after="0" w:afterAutospacing="0" w:before="220" w:line="240" w:lineRule="auto"/>
        <w:ind w:left="630" w:hanging="360"/>
        <w:rPr>
          <w:rFonts w:ascii="Arial" w:cs="Arial" w:eastAsia="Arial" w:hAnsi="Arial"/>
          <w:color w:val="2c3e50"/>
          <w:sz w:val="21"/>
          <w:szCs w:val="2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reasonable and detailed budget with supporting justification for all anticipated costs for the timeframe of February 2022 through June 2022. </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a justification that explains the rationale for the proposed budget.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Indirect charges may be requested if the applicant has a current indirect cost rate agreement approved by a federal agency.</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may use the Budget Narrative/Justification – sample format as found in Appendix A.</w:t>
      </w:r>
      <w:r w:rsidDel="00000000" w:rsidR="00000000" w:rsidRPr="00000000">
        <w:rPr>
          <w:rtl w:val="0"/>
        </w:rPr>
      </w:r>
    </w:p>
    <w:p w:rsidR="00000000" w:rsidDel="00000000" w:rsidP="00000000" w:rsidRDefault="00000000" w:rsidRPr="00000000" w14:paraId="00000062">
      <w:pPr>
        <w:pStyle w:val="Heading1"/>
        <w:rPr>
          <w:highlight w:val="white"/>
        </w:rPr>
      </w:pPr>
      <w:r w:rsidDel="00000000" w:rsidR="00000000" w:rsidRPr="00000000">
        <w:rPr>
          <w:highlight w:val="white"/>
          <w:rtl w:val="0"/>
        </w:rPr>
        <w:t xml:space="preserve">7. Examples of Projects Ideas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Example of project ideas are below.  Please note, this is not an exhaustive list and CILs can develop a project that aligns with community needs.  </w:t>
      </w:r>
    </w:p>
    <w:p w:rsidR="00000000" w:rsidDel="00000000" w:rsidP="00000000" w:rsidRDefault="00000000" w:rsidRPr="00000000" w14:paraId="00000064">
      <w:pPr>
        <w:pStyle w:val="Heading3"/>
        <w:ind w:firstLine="360"/>
        <w:rPr/>
      </w:pPr>
      <w:r w:rsidDel="00000000" w:rsidR="00000000" w:rsidRPr="00000000">
        <w:rPr>
          <w:rtl w:val="0"/>
        </w:rPr>
        <w:t xml:space="preserve">Education</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 accessible educational materials on COVID-19 vaccination (flyers, social media, video, etc.) via the toolkit that the DVAO Center will provide</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attendance in webinars and trainings (hosted by CDC, CDCF, partner organizations, etc.)</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 virtual accessible training opportunities for people with disabilities</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 webpage(s) addressing COVID-19 vaccine access</w:t>
      </w:r>
    </w:p>
    <w:p w:rsidR="00000000" w:rsidDel="00000000" w:rsidP="00000000" w:rsidRDefault="00000000" w:rsidRPr="00000000" w14:paraId="00000069">
      <w:pPr>
        <w:pStyle w:val="Heading3"/>
        <w:ind w:firstLine="360"/>
        <w:rPr/>
      </w:pPr>
      <w:r w:rsidDel="00000000" w:rsidR="00000000" w:rsidRPr="00000000">
        <w:rPr>
          <w:rtl w:val="0"/>
        </w:rPr>
        <w:t xml:space="preserve">Accessibility</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individuals requiring in-home vaccination options and connect to a provider</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individuals in scheduling vaccination appointments as needed</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individuals needing accessible transportation to vaccine clinics and connect to services</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local public health centers with distributing accessible content</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 education about accessible vaccination sites, including mobile sites</w:t>
      </w:r>
    </w:p>
    <w:p w:rsidR="00000000" w:rsidDel="00000000" w:rsidP="00000000" w:rsidRDefault="00000000" w:rsidRPr="00000000" w14:paraId="0000006F">
      <w:pPr>
        <w:pStyle w:val="Heading3"/>
        <w:ind w:firstLine="360"/>
        <w:rPr/>
      </w:pPr>
      <w:r w:rsidDel="00000000" w:rsidR="00000000" w:rsidRPr="00000000">
        <w:rPr>
          <w:rtl w:val="0"/>
        </w:rPr>
        <w:t xml:space="preserve">Information sharing</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 information and resources with the ACL call center</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Utilize applicable resources from ACL call center with the community</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informational interviews with DVAOC and partner organizations</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 peer support (sharing best practices with other CILs)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 with local health department(s) (LHDs) to share information and communication strategies to reach people with disabilities and improve vaccine accessibility</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 Q&amp;A so staff delivering information and referral (I&amp;R) will be able to assist callers with disabilities with vaccine hesitancy</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vaccine education to other providers in the community who serve people with disabilities</w:t>
      </w:r>
    </w:p>
    <w:p w:rsidR="00000000" w:rsidDel="00000000" w:rsidP="00000000" w:rsidRDefault="00000000" w:rsidRPr="00000000" w14:paraId="00000077">
      <w:pPr>
        <w:pStyle w:val="Heading3"/>
        <w:ind w:firstLine="360"/>
        <w:rPr/>
      </w:pPr>
      <w:r w:rsidDel="00000000" w:rsidR="00000000" w:rsidRPr="00000000">
        <w:rPr>
          <w:rtl w:val="0"/>
        </w:rPr>
        <w:t xml:space="preserve">Vaccination Assistance</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reminders to individuals needing additional vaccine doses (emails, phone calls, etc. to individuals assisted with scheduling appointments)</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in improving the accessibility of existing vaccine clinics </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Navigate transportation and other barriers to scheduling vaccines </w:t>
      </w:r>
    </w:p>
    <w:p w:rsidR="00000000" w:rsidDel="00000000" w:rsidP="00000000" w:rsidRDefault="00000000" w:rsidRPr="00000000" w14:paraId="0000007B">
      <w:pPr>
        <w:pStyle w:val="Heading1"/>
        <w:rPr/>
      </w:pPr>
      <w:r w:rsidDel="00000000" w:rsidR="00000000" w:rsidRPr="00000000">
        <w:rPr>
          <w:rtl w:val="0"/>
        </w:rPr>
        <w:t xml:space="preserve">8. Grant Requirements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Grantees are expected to:</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demographic information on individuals assisted (Age, Gender, Race, Ethnicity, Disability, Zip code)</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Track numbers of referrals, resources shared, and individuals provided education and assisted with vaccination, where applicable</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analytics about the number of people you are educating and providing information</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and report successes, key strategies and lessons learned to inform vaccine planning and implementation efforts for people with disabilities</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webinars and other technical assistance providing guidance on project implementation</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all DVAO Center technical assistance trainings</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Utilize materials developed by the DVAO Center </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 with local health departments (LHDs) and/or local providers to connect individuals to COVID-19 vaccines (e.g., existing clinics, improving accessibility of clinics, scheduling).  </w:t>
      </w:r>
    </w:p>
    <w:p w:rsidR="00000000" w:rsidDel="00000000" w:rsidP="00000000" w:rsidRDefault="00000000" w:rsidRPr="00000000" w14:paraId="00000085">
      <w:pPr>
        <w:pStyle w:val="Heading1"/>
        <w:rPr/>
      </w:pPr>
      <w:r w:rsidDel="00000000" w:rsidR="00000000" w:rsidRPr="00000000">
        <w:rPr>
          <w:rtl w:val="0"/>
        </w:rPr>
        <w:t xml:space="preserve">9. Grant Outcomes</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and strengthen COVID-19 vaccine confidence among people with disabilities (or improve education provided)</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accessibility of education materials that will specifically address people with disabilities</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access to COVID-19 vaccines for people with disabilities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COVID-19 vaccine initiation and series completion among people with disabilities</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opportunities for collaboration between LHDs and CILs</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resource sharing and utilization of the ACL call center</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education to address hesitancy specifically among the disability community</w:t>
      </w:r>
    </w:p>
    <w:p w:rsidR="00000000" w:rsidDel="00000000" w:rsidP="00000000" w:rsidRDefault="00000000" w:rsidRPr="00000000" w14:paraId="0000008D">
      <w:pPr>
        <w:pStyle w:val="Heading1"/>
        <w:rPr/>
      </w:pPr>
      <w:r w:rsidDel="00000000" w:rsidR="00000000" w:rsidRPr="00000000">
        <w:rPr>
          <w:rtl w:val="0"/>
        </w:rPr>
        <w:t xml:space="preserve">10. Grant Deliverables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 recipients must submit monthly financial and narrative reports as well as a financial report in a format specified by the DVAO Center, by the date(s) indicated in their Letter of Award.  </w:t>
      </w:r>
      <w:r w:rsidDel="00000000" w:rsidR="00000000" w:rsidRPr="00000000">
        <w:rPr>
          <w:rtl w:val="0"/>
        </w:rPr>
      </w:r>
    </w:p>
    <w:p w:rsidR="00000000" w:rsidDel="00000000" w:rsidP="00000000" w:rsidRDefault="00000000" w:rsidRPr="00000000" w14:paraId="0000008F">
      <w:pPr>
        <w:pStyle w:val="Heading1"/>
        <w:rPr>
          <w:highlight w:val="white"/>
        </w:rPr>
      </w:pPr>
      <w:bookmarkStart w:colFirst="0" w:colLast="0" w:name="_heading=h.30j0zll" w:id="2"/>
      <w:bookmarkEnd w:id="2"/>
      <w:r w:rsidDel="00000000" w:rsidR="00000000" w:rsidRPr="00000000">
        <w:rPr>
          <w:highlight w:val="white"/>
          <w:rtl w:val="0"/>
        </w:rPr>
        <w:t xml:space="preserve">11. Timeline </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Opens: </w:t>
      </w: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January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2022</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Deadline: Monday, January 24, 2022</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 Decision Notification: Monday, February 7, 2022</w:t>
        <w:tab/>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activities initiation: Monday, February 14, 2022</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the timeline is subject to change.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1"/>
        <w:rPr/>
      </w:pPr>
      <w:r w:rsidDel="00000000" w:rsidR="00000000" w:rsidRPr="00000000">
        <w:rPr>
          <w:rtl w:val="0"/>
        </w:rPr>
        <w:t xml:space="preserve">APPENDIX A: SAMPLE BUDGET AND BUDGET JUSTIFICATION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BUDGET &amp; BUDGET JUSTIFICATION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PERSONNEL: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Enter total costs of salaries and wages of all staff associated with this project.</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LOE</w:t>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Salary</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Director</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$55,000</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$27,500</w:t>
            </w:r>
          </w:p>
        </w:tc>
      </w:tr>
      <w:tr>
        <w:trPr>
          <w:cantSplit w:val="0"/>
          <w:tblHeader w:val="0"/>
        </w:trPr>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jc w:val="center"/>
              <w:rPr/>
            </w:pPr>
            <w:r w:rsidDel="00000000" w:rsidR="00000000" w:rsidRPr="00000000">
              <w:rPr>
                <w:rtl w:val="0"/>
              </w:rPr>
            </w:r>
          </w:p>
        </w:tc>
        <w:tc>
          <w:tcPr/>
          <w:p w:rsidR="00000000" w:rsidDel="00000000" w:rsidP="00000000" w:rsidRDefault="00000000" w:rsidRPr="00000000" w14:paraId="000000A5">
            <w:pPr>
              <w:jc w:val="right"/>
              <w:rPr/>
            </w:pPr>
            <w:r w:rsidDel="00000000" w:rsidR="00000000" w:rsidRPr="00000000">
              <w:rPr>
                <w:rtl w:val="0"/>
              </w:rPr>
            </w:r>
          </w:p>
        </w:tc>
        <w:tc>
          <w:tcPr/>
          <w:p w:rsidR="00000000" w:rsidDel="00000000" w:rsidP="00000000" w:rsidRDefault="00000000" w:rsidRPr="00000000" w14:paraId="000000A6">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jc w:val="center"/>
              <w:rPr/>
            </w:pPr>
            <w:r w:rsidDel="00000000" w:rsidR="00000000" w:rsidRPr="00000000">
              <w:rPr>
                <w:rtl w:val="0"/>
              </w:rPr>
            </w:r>
          </w:p>
        </w:tc>
        <w:tc>
          <w:tcPr/>
          <w:p w:rsidR="00000000" w:rsidDel="00000000" w:rsidP="00000000" w:rsidRDefault="00000000" w:rsidRPr="00000000" w14:paraId="000000A9">
            <w:pPr>
              <w:jc w:val="right"/>
              <w:rPr/>
            </w:pPr>
            <w:r w:rsidDel="00000000" w:rsidR="00000000" w:rsidRPr="00000000">
              <w:rPr>
                <w:rtl w:val="0"/>
              </w:rPr>
            </w:r>
          </w:p>
        </w:tc>
        <w:tc>
          <w:tcPr/>
          <w:p w:rsidR="00000000" w:rsidDel="00000000" w:rsidP="00000000" w:rsidRDefault="00000000" w:rsidRPr="00000000" w14:paraId="000000AA">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jc w:val="center"/>
              <w:rPr/>
            </w:pPr>
            <w:r w:rsidDel="00000000" w:rsidR="00000000" w:rsidRPr="00000000">
              <w:rPr>
                <w:rtl w:val="0"/>
              </w:rPr>
            </w:r>
          </w:p>
        </w:tc>
        <w:tc>
          <w:tcPr/>
          <w:p w:rsidR="00000000" w:rsidDel="00000000" w:rsidP="00000000" w:rsidRDefault="00000000" w:rsidRPr="00000000" w14:paraId="000000AD">
            <w:pPr>
              <w:jc w:val="right"/>
              <w:rPr/>
            </w:pPr>
            <w:r w:rsidDel="00000000" w:rsidR="00000000" w:rsidRPr="00000000">
              <w:rPr>
                <w:rtl w:val="0"/>
              </w:rPr>
            </w:r>
          </w:p>
        </w:tc>
        <w:tc>
          <w:tcPr/>
          <w:p w:rsidR="00000000" w:rsidDel="00000000" w:rsidP="00000000" w:rsidRDefault="00000000" w:rsidRPr="00000000" w14:paraId="000000AE">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jc w:val="center"/>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PERSONNEL:</w:t>
            </w:r>
          </w:p>
        </w:tc>
        <w:tc>
          <w:tcPr/>
          <w:p w:rsidR="00000000" w:rsidDel="00000000" w:rsidP="00000000" w:rsidRDefault="00000000" w:rsidRPr="00000000" w14:paraId="000000B2">
            <w:pPr>
              <w:jc w:val="right"/>
              <w:rPr/>
            </w:pP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FRINGE: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Enter the total costs of fringe benefits. If the fringe benefit rate exceeds 35% of personnel costs, provide a breakdown of amounts and percentages that make up the benefit costs (health insurance, FICA, retirement, etc.) A percentage of 35% or less does not require a breakdown.</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Fringe Benefit Rate</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Computation</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Director</w:t>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$27,500 X 25%</w:t>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$6,875</w:t>
            </w:r>
          </w:p>
        </w:tc>
      </w:tr>
      <w:tr>
        <w:trPr>
          <w:cantSplit w:val="0"/>
          <w:tblHeader w:val="0"/>
        </w:trPr>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jc w:val="cente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jc w:val="cente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jc w:val="cente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jc w:val="center"/>
              <w:rPr/>
            </w:pP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FRINGE:</w:t>
            </w:r>
          </w:p>
        </w:tc>
        <w:tc>
          <w:tcPr/>
          <w:p w:rsidR="00000000" w:rsidDel="00000000" w:rsidP="00000000" w:rsidRDefault="00000000" w:rsidRPr="00000000" w14:paraId="000000CC">
            <w:pPr>
              <w:jc w:val="right"/>
              <w:rPr/>
            </w:pPr>
            <w:r w:rsidDel="00000000" w:rsidR="00000000" w:rsidRPr="00000000">
              <w:rPr>
                <w:rtl w:val="0"/>
              </w:rPr>
            </w:r>
          </w:p>
        </w:tc>
      </w:tr>
    </w:tb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TRAVEL: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Enter total costs of all travel for staff on the project. Include the total number of trips, number of travelers, destinations, and purpose.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4"/>
        <w:gridCol w:w="2338"/>
        <w:gridCol w:w="2338"/>
        <w:tblGridChange w:id="0">
          <w:tblGrid>
            <w:gridCol w:w="4674"/>
            <w:gridCol w:w="2338"/>
            <w:gridCol w:w="2338"/>
          </w:tblGrid>
        </w:tblGridChange>
      </w:tblGrid>
      <w:tr>
        <w:trPr>
          <w:cantSplit w:val="0"/>
          <w:tblHeader w:val="0"/>
        </w:trPr>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Computation</w:t>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travel for one staff member to travel to five agencies to disseminate programmatic information</w:t>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round trips @ 0.56/mile X 100 miles</w:t>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w:t>
            </w:r>
          </w:p>
        </w:tc>
      </w:tr>
      <w:tr>
        <w:trPr>
          <w:cantSplit w:val="0"/>
          <w:tblHeader w:val="0"/>
        </w:trPr>
        <w:tc>
          <w:tcPr/>
          <w:p w:rsidR="00000000" w:rsidDel="00000000" w:rsidP="00000000" w:rsidRDefault="00000000" w:rsidRPr="00000000" w14:paraId="000000D5">
            <w:pPr>
              <w:rPr>
                <w:i w:val="1"/>
                <w:color w:val="262626"/>
              </w:rPr>
            </w:pPr>
            <w:r w:rsidDel="00000000" w:rsidR="00000000" w:rsidRPr="00000000">
              <w:rPr>
                <w:rtl w:val="0"/>
              </w:rPr>
            </w:r>
          </w:p>
        </w:tc>
        <w:tc>
          <w:tcPr/>
          <w:p w:rsidR="00000000" w:rsidDel="00000000" w:rsidP="00000000" w:rsidRDefault="00000000" w:rsidRPr="00000000" w14:paraId="000000D6">
            <w:pPr>
              <w:rPr>
                <w:i w:val="1"/>
                <w:color w:val="262626"/>
              </w:rPr>
            </w:pPr>
            <w:r w:rsidDel="00000000" w:rsidR="00000000" w:rsidRPr="00000000">
              <w:rPr>
                <w:rtl w:val="0"/>
              </w:rPr>
            </w:r>
          </w:p>
        </w:tc>
        <w:tc>
          <w:tcPr/>
          <w:p w:rsidR="00000000" w:rsidDel="00000000" w:rsidP="00000000" w:rsidRDefault="00000000" w:rsidRPr="00000000" w14:paraId="000000D7">
            <w:pPr>
              <w:jc w:val="right"/>
              <w:rPr>
                <w:i w:val="1"/>
                <w:color w:val="262626"/>
              </w:rPr>
            </w:pPr>
            <w:r w:rsidDel="00000000" w:rsidR="00000000" w:rsidRPr="00000000">
              <w:rPr>
                <w:rtl w:val="0"/>
              </w:rPr>
            </w:r>
          </w:p>
        </w:tc>
      </w:tr>
      <w:tr>
        <w:trPr>
          <w:cantSplit w:val="0"/>
          <w:tblHeader w:val="0"/>
        </w:trPr>
        <w:tc>
          <w:tcPr/>
          <w:p w:rsidR="00000000" w:rsidDel="00000000" w:rsidP="00000000" w:rsidRDefault="00000000" w:rsidRPr="00000000" w14:paraId="000000D8">
            <w:pPr>
              <w:rPr>
                <w:i w:val="1"/>
                <w:color w:val="262626"/>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1"/>
                <w:smallCaps w:val="0"/>
                <w:strike w:val="0"/>
                <w:color w:val="26262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TRAVEL:</w:t>
            </w:r>
            <w:r w:rsidDel="00000000" w:rsidR="00000000" w:rsidRPr="00000000">
              <w:rPr>
                <w:rtl w:val="0"/>
              </w:rPr>
            </w:r>
          </w:p>
        </w:tc>
        <w:tc>
          <w:tcPr/>
          <w:p w:rsidR="00000000" w:rsidDel="00000000" w:rsidP="00000000" w:rsidRDefault="00000000" w:rsidRPr="00000000" w14:paraId="000000DA">
            <w:pPr>
              <w:jc w:val="right"/>
              <w:rPr>
                <w:i w:val="1"/>
                <w:color w:val="262626"/>
              </w:rPr>
            </w:pPr>
            <w:r w:rsidDel="00000000" w:rsidR="00000000" w:rsidRPr="00000000">
              <w:rPr>
                <w:rtl w:val="0"/>
              </w:rPr>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SUPPLIES: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Enter the total costs of all tangible expendable personal property.  Provide a detailed breakdown of the supply items.</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609"/>
        <w:gridCol w:w="2338"/>
        <w:gridCol w:w="2338"/>
        <w:tblGridChange w:id="0">
          <w:tblGrid>
            <w:gridCol w:w="2065"/>
            <w:gridCol w:w="2609"/>
            <w:gridCol w:w="2338"/>
            <w:gridCol w:w="2338"/>
          </w:tblGrid>
        </w:tblGridChange>
      </w:tblGrid>
      <w:tr>
        <w:trPr>
          <w:cantSplit w:val="0"/>
          <w:tblHeader w:val="0"/>
        </w:trPr>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Supply Item</w:t>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Computation</w:t>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Laptop</w:t>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Laptop for Project Director</w:t>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$1,900 X 1</w:t>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$1,900</w:t>
            </w:r>
          </w:p>
        </w:tc>
      </w:tr>
      <w:tr>
        <w:trPr>
          <w:cantSplit w:val="0"/>
          <w:tblHeader w:val="0"/>
        </w:trPr>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SUPPLIES:</w:t>
            </w:r>
          </w:p>
        </w:tc>
        <w:tc>
          <w:tcPr/>
          <w:p w:rsidR="00000000" w:rsidDel="00000000" w:rsidP="00000000" w:rsidRDefault="00000000" w:rsidRPr="00000000" w14:paraId="000000F4">
            <w:pPr>
              <w:jc w:val="right"/>
              <w:rPr/>
            </w:pPr>
            <w:r w:rsidDel="00000000" w:rsidR="00000000" w:rsidRPr="00000000">
              <w:rPr>
                <w:rtl w:val="0"/>
              </w:rPr>
            </w:r>
          </w:p>
        </w:tc>
      </w:tr>
    </w:tb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CONTRACTUAL: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Enter the total costs of all contracts. Provide the name of the contractor, the justification of the contract, and the estimated dollar amount.</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609"/>
        <w:gridCol w:w="2338"/>
        <w:gridCol w:w="2338"/>
        <w:tblGridChange w:id="0">
          <w:tblGrid>
            <w:gridCol w:w="2065"/>
            <w:gridCol w:w="2609"/>
            <w:gridCol w:w="2338"/>
            <w:gridCol w:w="2338"/>
          </w:tblGrid>
        </w:tblGridChange>
      </w:tblGrid>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Contractor</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Justification</w:t>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Computation</w:t>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Interpreting Agency</w:t>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ASL interpreting services.</w:t>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$65/hr. X 25 hours</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$1,625</w:t>
            </w:r>
          </w:p>
        </w:tc>
      </w:tr>
      <w:tr>
        <w:trPr>
          <w:cantSplit w:val="0"/>
          <w:tblHeader w:val="0"/>
        </w:trPr>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CONTRACTUAL:</w:t>
            </w:r>
          </w:p>
        </w:tc>
        <w:tc>
          <w:tcPr/>
          <w:p w:rsidR="00000000" w:rsidDel="00000000" w:rsidP="00000000" w:rsidRDefault="00000000" w:rsidRPr="00000000" w14:paraId="0000010E">
            <w:pPr>
              <w:jc w:val="right"/>
              <w:rPr/>
            </w:pPr>
            <w:r w:rsidDel="00000000" w:rsidR="00000000" w:rsidRPr="00000000">
              <w:rPr>
                <w:rtl w:val="0"/>
              </w:rPr>
            </w:r>
          </w:p>
        </w:tc>
      </w:tr>
    </w:tb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Enter the total of all other costs that do not clearly fit under another category.</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609"/>
        <w:gridCol w:w="2338"/>
        <w:gridCol w:w="2338"/>
        <w:tblGridChange w:id="0">
          <w:tblGrid>
            <w:gridCol w:w="2065"/>
            <w:gridCol w:w="2609"/>
            <w:gridCol w:w="2338"/>
            <w:gridCol w:w="2338"/>
          </w:tblGrid>
        </w:tblGridChange>
      </w:tblGrid>
      <w:tr>
        <w:trPr>
          <w:cantSplit w:val="0"/>
          <w:tblHeader w:val="0"/>
        </w:trPr>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Cost</w:t>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Justification</w:t>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Computation</w:t>
            </w:r>
          </w:p>
        </w:tc>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Printing</w:t>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Programmatic brochures</w:t>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brochures @ 0.05</w:t>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w:t>
            </w:r>
          </w:p>
        </w:tc>
      </w:tr>
      <w:tr>
        <w:trPr>
          <w:cantSplit w:val="0"/>
          <w:tblHeader w:val="0"/>
        </w:trPr>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OTHER:</w:t>
            </w:r>
          </w:p>
        </w:tc>
        <w:tc>
          <w:tcPr/>
          <w:p w:rsidR="00000000" w:rsidDel="00000000" w:rsidP="00000000" w:rsidRDefault="00000000" w:rsidRPr="00000000" w14:paraId="00000128">
            <w:pPr>
              <w:jc w:val="right"/>
              <w:rPr/>
            </w:pPr>
            <w:r w:rsidDel="00000000" w:rsidR="00000000" w:rsidRPr="00000000">
              <w:rPr>
                <w:rtl w:val="0"/>
              </w:rPr>
            </w:r>
          </w:p>
        </w:tc>
      </w:tr>
    </w:tb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INDIRECT COSTS: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Applicants that have included indirect costs must include a copy of their current federally negotiated indirect cost rate agreement.</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2609"/>
        <w:gridCol w:w="2338"/>
        <w:gridCol w:w="2338"/>
        <w:tblGridChange w:id="0">
          <w:tblGrid>
            <w:gridCol w:w="2065"/>
            <w:gridCol w:w="2609"/>
            <w:gridCol w:w="2338"/>
            <w:gridCol w:w="2338"/>
          </w:tblGrid>
        </w:tblGridChange>
      </w:tblGrid>
      <w:tr>
        <w:trPr>
          <w:cantSplit w:val="0"/>
          <w:tblHeader w:val="0"/>
        </w:trPr>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Indirect Costs</w:t>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Rate</w:t>
            </w:r>
          </w:p>
        </w:tc>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Base</w:t>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Indirect Costs</w:t>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Salaries &amp; Fringe</w:t>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$6,187.50</w:t>
            </w:r>
          </w:p>
        </w:tc>
      </w:tr>
      <w:tr>
        <w:trPr>
          <w:cantSplit w:val="0"/>
          <w:tblHeader w:val="0"/>
        </w:trPr>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jc w:val="center"/>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jc w:val="cente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jc w:val="right"/>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13B">
            <w:pPr>
              <w:rPr/>
            </w:pPr>
            <w:r w:rsidDel="00000000" w:rsidR="00000000" w:rsidRPr="00000000">
              <w:rPr>
                <w:rtl w:val="0"/>
              </w:rPr>
            </w:r>
          </w:p>
        </w:tc>
        <w:tc>
          <w:tcPr/>
          <w:p w:rsidR="00000000" w:rsidDel="00000000" w:rsidP="00000000" w:rsidRDefault="00000000" w:rsidRPr="00000000" w14:paraId="0000013C">
            <w:pPr>
              <w:jc w:val="cente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jc w:val="center"/>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OTHER:</w:t>
            </w:r>
          </w:p>
        </w:tc>
        <w:tc>
          <w:tcPr/>
          <w:p w:rsidR="00000000" w:rsidDel="00000000" w:rsidP="00000000" w:rsidRDefault="00000000" w:rsidRPr="00000000" w14:paraId="00000142">
            <w:pPr>
              <w:jc w:val="right"/>
              <w:rPr/>
            </w:pPr>
            <w:r w:rsidDel="00000000" w:rsidR="00000000" w:rsidRPr="00000000">
              <w:rPr>
                <w:rtl w:val="0"/>
              </w:rPr>
            </w:r>
          </w:p>
        </w:tc>
      </w:tr>
    </w:tb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TOTALS:</w:t>
      </w:r>
    </w:p>
    <w:tbl>
      <w:tblPr>
        <w:tblStyle w:val="Table8"/>
        <w:tblW w:w="5580.0" w:type="dxa"/>
        <w:jc w:val="left"/>
        <w:tblInd w:w="14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2340"/>
        <w:tblGridChange w:id="0">
          <w:tblGrid>
            <w:gridCol w:w="3240"/>
            <w:gridCol w:w="2340"/>
          </w:tblGrid>
        </w:tblGridChange>
      </w:tblGrid>
      <w:tr>
        <w:trPr>
          <w:cantSplit w:val="0"/>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Personnel</w:t>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blHeader w:val="0"/>
        </w:trPr>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Fringe</w:t>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blHeader w:val="0"/>
        </w:trPr>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w:t>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Supplies</w:t>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blHeader w:val="0"/>
        </w:trPr>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Contractual</w:t>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blHeader w:val="0"/>
        </w:trPr>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blHeader w:val="0"/>
        </w:trPr>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Indirect Costs (if applicable)</w:t>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pStyle w:val="Heading1"/>
        <w:rPr/>
      </w:pPr>
      <w:r w:rsidDel="00000000" w:rsidR="00000000" w:rsidRPr="00000000">
        <w:rPr>
          <w:rtl w:val="0"/>
        </w:rPr>
      </w:r>
    </w:p>
    <w:p w:rsidR="00000000" w:rsidDel="00000000" w:rsidP="00000000" w:rsidRDefault="00000000" w:rsidRPr="00000000" w14:paraId="00000158">
      <w:pPr>
        <w:pStyle w:val="Heading1"/>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5B">
      <w:pPr>
        <w:pStyle w:val="Title"/>
        <w:rPr>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 xml:space="preserve">DVAO Center Request for Applications, 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8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0" w:before="360" w:line="240" w:lineRule="auto"/>
    </w:pPr>
    <w:rPr>
      <w:rFonts w:ascii="Times New Roman" w:cs="Times New Roman" w:eastAsia="Times New Roman" w:hAnsi="Times New Roman"/>
      <w:b w:val="0"/>
      <w:i w:val="1"/>
      <w:sz w:val="24"/>
      <w:szCs w:val="24"/>
    </w:rPr>
  </w:style>
  <w:style w:type="paragraph" w:styleId="Heading3">
    <w:name w:val="heading 3"/>
    <w:basedOn w:val="Normal"/>
    <w:next w:val="Normal"/>
    <w:pPr>
      <w:keepNext w:val="1"/>
      <w:spacing w:after="0" w:before="240" w:line="240" w:lineRule="auto"/>
      <w:ind w:left="360"/>
    </w:pPr>
    <w:rPr>
      <w:rFonts w:ascii="Times New Roman" w:cs="Times New Roman" w:eastAsia="Times New Roman" w:hAnsi="Times New Roman"/>
      <w:b w:val="0"/>
      <w:i w:val="1"/>
      <w:sz w:val="24"/>
      <w:szCs w:val="24"/>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jc w:val="center"/>
    </w:pPr>
    <w:rPr>
      <w:rFonts w:ascii="Times New Roman" w:cs="Times New Roman" w:eastAsia="Times New Roman" w:hAnsi="Times New Roman"/>
      <w:b w:val="1"/>
      <w:color w:val="002060"/>
      <w:sz w:val="28"/>
      <w:szCs w:val="28"/>
    </w:rPr>
  </w:style>
  <w:style w:type="paragraph" w:styleId="Normal" w:default="1">
    <w:name w:val="Normal"/>
    <w:qFormat w:val="1"/>
    <w:rsid w:val="00EF2928"/>
  </w:style>
  <w:style w:type="paragraph" w:styleId="Heading1">
    <w:name w:val="heading 1"/>
    <w:basedOn w:val="BodyText"/>
    <w:next w:val="BodyText"/>
    <w:link w:val="Heading1Char"/>
    <w:uiPriority w:val="9"/>
    <w:qFormat w:val="1"/>
    <w:rsid w:val="001F78EE"/>
    <w:pPr>
      <w:keepNext w:val="1"/>
      <w:spacing w:before="480"/>
      <w:outlineLvl w:val="0"/>
    </w:pPr>
    <w:rPr>
      <w:b w:val="1"/>
      <w:bCs w:val="1"/>
      <w:kern w:val="32"/>
      <w:szCs w:val="32"/>
    </w:rPr>
  </w:style>
  <w:style w:type="paragraph" w:styleId="Heading2">
    <w:name w:val="heading 2"/>
    <w:basedOn w:val="Heading1"/>
    <w:next w:val="BodyText"/>
    <w:link w:val="Heading2Char"/>
    <w:uiPriority w:val="9"/>
    <w:unhideWhenUsed w:val="1"/>
    <w:qFormat w:val="1"/>
    <w:rsid w:val="00D62352"/>
    <w:pPr>
      <w:spacing w:before="360"/>
      <w:outlineLvl w:val="1"/>
    </w:pPr>
    <w:rPr>
      <w:b w:val="0"/>
      <w:bCs w:val="0"/>
      <w:i w:val="1"/>
      <w:iCs w:val="1"/>
      <w:szCs w:val="28"/>
    </w:rPr>
  </w:style>
  <w:style w:type="paragraph" w:styleId="Heading3">
    <w:name w:val="heading 3"/>
    <w:basedOn w:val="Heading2"/>
    <w:next w:val="BodyText"/>
    <w:link w:val="Heading3Char"/>
    <w:uiPriority w:val="9"/>
    <w:unhideWhenUsed w:val="1"/>
    <w:qFormat w:val="1"/>
    <w:rsid w:val="004C3A2F"/>
    <w:pPr>
      <w:spacing w:before="240"/>
      <w:ind w:left="360"/>
      <w:outlineLvl w:val="2"/>
    </w:pPr>
    <w:rPr>
      <w:bCs w:val="1"/>
      <w:szCs w:val="26"/>
      <w:u w:val="single"/>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BodyText"/>
    <w:next w:val="Subtitle"/>
    <w:link w:val="TitleChar"/>
    <w:uiPriority w:val="10"/>
    <w:qFormat w:val="1"/>
    <w:rsid w:val="00C7095F"/>
    <w:pPr>
      <w:contextualSpacing w:val="1"/>
      <w:jc w:val="center"/>
    </w:pPr>
    <w:rPr>
      <w:b w:val="1"/>
      <w:bCs w:val="1"/>
      <w:color w:val="002060"/>
      <w:kern w:val="28"/>
      <w:sz w:val="28"/>
      <w:szCs w:val="32"/>
    </w:rPr>
  </w:style>
  <w:style w:type="paragraph" w:styleId="Header">
    <w:name w:val="header"/>
    <w:basedOn w:val="Normal"/>
    <w:link w:val="HeaderChar"/>
    <w:uiPriority w:val="99"/>
    <w:unhideWhenUsed w:val="1"/>
    <w:rsid w:val="00ED1C94"/>
    <w:pPr>
      <w:tabs>
        <w:tab w:val="center" w:pos="4680"/>
        <w:tab w:val="right" w:pos="9360"/>
      </w:tabs>
    </w:pPr>
  </w:style>
  <w:style w:type="character" w:styleId="HeaderChar" w:customStyle="1">
    <w:name w:val="Header Char"/>
    <w:basedOn w:val="DefaultParagraphFont"/>
    <w:link w:val="Header"/>
    <w:uiPriority w:val="99"/>
    <w:rsid w:val="00ED1C94"/>
  </w:style>
  <w:style w:type="paragraph" w:styleId="Footer">
    <w:name w:val="footer"/>
    <w:basedOn w:val="Normal"/>
    <w:link w:val="FooterChar"/>
    <w:uiPriority w:val="99"/>
    <w:unhideWhenUsed w:val="1"/>
    <w:rsid w:val="00ED1C94"/>
    <w:pPr>
      <w:tabs>
        <w:tab w:val="center" w:pos="4680"/>
        <w:tab w:val="right" w:pos="9360"/>
      </w:tabs>
    </w:pPr>
  </w:style>
  <w:style w:type="character" w:styleId="FooterChar" w:customStyle="1">
    <w:name w:val="Footer Char"/>
    <w:basedOn w:val="DefaultParagraphFont"/>
    <w:link w:val="Footer"/>
    <w:uiPriority w:val="99"/>
    <w:rsid w:val="00ED1C94"/>
  </w:style>
  <w:style w:type="character" w:styleId="Hyperlink">
    <w:name w:val="Hyperlink"/>
    <w:uiPriority w:val="99"/>
    <w:unhideWhenUsed w:val="1"/>
    <w:rsid w:val="009D2940"/>
    <w:rPr>
      <w:color w:val="0563c1"/>
      <w:u w:val="single"/>
    </w:rPr>
  </w:style>
  <w:style w:type="character" w:styleId="UnresolvedMention1" w:customStyle="1">
    <w:name w:val="Unresolved Mention1"/>
    <w:uiPriority w:val="99"/>
    <w:semiHidden w:val="1"/>
    <w:unhideWhenUsed w:val="1"/>
    <w:rsid w:val="009D2940"/>
    <w:rPr>
      <w:color w:val="605e5c"/>
      <w:shd w:color="auto" w:fill="e1dfdd" w:val="clear"/>
    </w:rPr>
  </w:style>
  <w:style w:type="character" w:styleId="Heading1Char" w:customStyle="1">
    <w:name w:val="Heading 1 Char"/>
    <w:link w:val="Heading1"/>
    <w:uiPriority w:val="9"/>
    <w:rsid w:val="001F78EE"/>
    <w:rPr>
      <w:rFonts w:ascii="Times New Roman" w:cs="Times New Roman" w:eastAsia="Times New Roman" w:hAnsi="Times New Roman"/>
      <w:b w:val="1"/>
      <w:bCs w:val="1"/>
      <w:kern w:val="32"/>
      <w:sz w:val="24"/>
      <w:szCs w:val="32"/>
    </w:rPr>
  </w:style>
  <w:style w:type="character" w:styleId="Heading2Char" w:customStyle="1">
    <w:name w:val="Heading 2 Char"/>
    <w:link w:val="Heading2"/>
    <w:uiPriority w:val="9"/>
    <w:rsid w:val="00D62352"/>
    <w:rPr>
      <w:rFonts w:ascii="Times New Roman" w:hAnsi="Times New Roman"/>
      <w:i w:val="1"/>
      <w:iCs w:val="1"/>
      <w:kern w:val="32"/>
      <w:sz w:val="24"/>
      <w:szCs w:val="28"/>
    </w:rPr>
  </w:style>
  <w:style w:type="character" w:styleId="Heading3Char" w:customStyle="1">
    <w:name w:val="Heading 3 Char"/>
    <w:link w:val="Heading3"/>
    <w:uiPriority w:val="9"/>
    <w:rsid w:val="004C3A2F"/>
    <w:rPr>
      <w:rFonts w:ascii="Times New Roman" w:hAnsi="Times New Roman"/>
      <w:bCs w:val="1"/>
      <w:i w:val="1"/>
      <w:iCs w:val="1"/>
      <w:kern w:val="32"/>
      <w:sz w:val="24"/>
      <w:szCs w:val="26"/>
      <w:u w:val="single"/>
    </w:rPr>
  </w:style>
  <w:style w:type="paragraph" w:styleId="BodyText">
    <w:name w:val="Body Text"/>
    <w:basedOn w:val="Normal"/>
    <w:link w:val="BodyTextChar"/>
    <w:uiPriority w:val="99"/>
    <w:unhideWhenUsed w:val="1"/>
    <w:rsid w:val="00747A52"/>
    <w:pPr>
      <w:spacing w:after="0" w:before="120" w:line="240" w:lineRule="auto"/>
    </w:pPr>
    <w:rPr>
      <w:rFonts w:ascii="Times New Roman" w:hAnsi="Times New Roman"/>
      <w:sz w:val="24"/>
    </w:rPr>
  </w:style>
  <w:style w:type="character" w:styleId="BodyTextChar" w:customStyle="1">
    <w:name w:val="Body Text Char"/>
    <w:link w:val="BodyText"/>
    <w:uiPriority w:val="99"/>
    <w:rsid w:val="00747A52"/>
    <w:rPr>
      <w:rFonts w:ascii="Times New Roman" w:hAnsi="Times New Roman"/>
      <w:sz w:val="24"/>
      <w:szCs w:val="22"/>
    </w:rPr>
  </w:style>
  <w:style w:type="paragraph" w:styleId="ListBullet">
    <w:name w:val="List Bullet"/>
    <w:basedOn w:val="Normal"/>
    <w:link w:val="ListBulletChar"/>
    <w:uiPriority w:val="99"/>
    <w:unhideWhenUsed w:val="1"/>
    <w:rsid w:val="0040131E"/>
    <w:pPr>
      <w:numPr>
        <w:numId w:val="2"/>
      </w:numPr>
      <w:spacing w:after="0" w:before="120" w:line="240" w:lineRule="auto"/>
      <w:ind w:left="360"/>
      <w:contextualSpacing w:val="1"/>
    </w:pPr>
    <w:rPr>
      <w:rFonts w:ascii="Times New Roman" w:hAnsi="Times New Roman"/>
      <w:sz w:val="24"/>
    </w:rPr>
  </w:style>
  <w:style w:type="paragraph" w:styleId="ListNumber">
    <w:name w:val="List Number"/>
    <w:basedOn w:val="BodyText"/>
    <w:uiPriority w:val="99"/>
    <w:unhideWhenUsed w:val="1"/>
    <w:rsid w:val="000532B4"/>
    <w:pPr>
      <w:numPr>
        <w:numId w:val="7"/>
      </w:numPr>
      <w:spacing w:before="240"/>
      <w:contextualSpacing w:val="1"/>
    </w:pPr>
  </w:style>
  <w:style w:type="table" w:styleId="TableGrid">
    <w:name w:val="Table Grid"/>
    <w:basedOn w:val="TableNormal"/>
    <w:uiPriority w:val="39"/>
    <w:rsid w:val="00D37AF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link w:val="Title"/>
    <w:uiPriority w:val="10"/>
    <w:rsid w:val="00C7095F"/>
    <w:rPr>
      <w:rFonts w:ascii="Times New Roman" w:cs="Times New Roman" w:eastAsia="Times New Roman" w:hAnsi="Times New Roman"/>
      <w:b w:val="1"/>
      <w:bCs w:val="1"/>
      <w:color w:val="002060"/>
      <w:kern w:val="28"/>
      <w:sz w:val="28"/>
      <w:szCs w:val="32"/>
    </w:rPr>
  </w:style>
  <w:style w:type="paragraph" w:styleId="Subtitle">
    <w:name w:val="Subtitle"/>
    <w:basedOn w:val="Normal"/>
    <w:next w:val="Normal"/>
    <w:link w:val="SubtitleChar"/>
    <w:uiPriority w:val="11"/>
    <w:qFormat w:val="1"/>
    <w:pPr>
      <w:spacing w:after="0" w:before="720" w:line="240" w:lineRule="auto"/>
      <w:jc w:val="center"/>
    </w:pPr>
    <w:rPr>
      <w:rFonts w:ascii="Times New Roman" w:cs="Times New Roman" w:eastAsia="Times New Roman" w:hAnsi="Times New Roman"/>
      <w:b w:val="1"/>
      <w:color w:val="002060"/>
      <w:sz w:val="24"/>
      <w:szCs w:val="24"/>
    </w:rPr>
  </w:style>
  <w:style w:type="character" w:styleId="SubtitleChar" w:customStyle="1">
    <w:name w:val="Subtitle Char"/>
    <w:link w:val="Subtitle"/>
    <w:uiPriority w:val="11"/>
    <w:rsid w:val="00C7095F"/>
    <w:rPr>
      <w:rFonts w:ascii="Times New Roman" w:cs="Times New Roman" w:eastAsia="Times New Roman" w:hAnsi="Times New Roman"/>
      <w:b w:val="1"/>
      <w:bCs w:val="1"/>
      <w:color w:val="002060"/>
      <w:kern w:val="28"/>
      <w:sz w:val="24"/>
      <w:szCs w:val="24"/>
    </w:rPr>
  </w:style>
  <w:style w:type="character" w:styleId="Emphasis">
    <w:name w:val="Emphasis"/>
    <w:uiPriority w:val="20"/>
    <w:qFormat w:val="1"/>
    <w:rsid w:val="00E94905"/>
    <w:rPr>
      <w:i w:val="1"/>
      <w:iCs w:val="1"/>
      <w:color w:val="00b050"/>
    </w:rPr>
  </w:style>
  <w:style w:type="paragraph" w:styleId="BodyTextFirstIndent">
    <w:name w:val="Body Text First Indent"/>
    <w:basedOn w:val="BodyText"/>
    <w:link w:val="BodyTextFirstIndentChar"/>
    <w:uiPriority w:val="99"/>
    <w:unhideWhenUsed w:val="1"/>
    <w:rsid w:val="00F50846"/>
    <w:pPr>
      <w:ind w:left="720" w:firstLine="216"/>
      <w:contextualSpacing w:val="1"/>
    </w:pPr>
  </w:style>
  <w:style w:type="character" w:styleId="BodyTextFirstIndentChar" w:customStyle="1">
    <w:name w:val="Body Text First Indent Char"/>
    <w:link w:val="BodyTextFirstIndent"/>
    <w:uiPriority w:val="99"/>
    <w:rsid w:val="00F50846"/>
    <w:rPr>
      <w:rFonts w:ascii="Times New Roman" w:hAnsi="Times New Roman"/>
      <w:sz w:val="24"/>
      <w:szCs w:val="22"/>
    </w:rPr>
  </w:style>
  <w:style w:type="paragraph" w:styleId="ListContinue">
    <w:name w:val="List Continue"/>
    <w:basedOn w:val="ListBullet"/>
    <w:uiPriority w:val="99"/>
    <w:unhideWhenUsed w:val="1"/>
    <w:rsid w:val="006F0255"/>
    <w:pPr>
      <w:spacing w:before="0"/>
      <w:contextualSpacing w:val="0"/>
    </w:pPr>
  </w:style>
  <w:style w:type="character" w:styleId="CommentReference">
    <w:name w:val="annotation reference"/>
    <w:uiPriority w:val="99"/>
    <w:semiHidden w:val="1"/>
    <w:unhideWhenUsed w:val="1"/>
    <w:rsid w:val="00A63720"/>
    <w:rPr>
      <w:sz w:val="16"/>
      <w:szCs w:val="16"/>
    </w:rPr>
  </w:style>
  <w:style w:type="paragraph" w:styleId="CommentText">
    <w:name w:val="annotation text"/>
    <w:basedOn w:val="Normal"/>
    <w:link w:val="CommentTextChar"/>
    <w:uiPriority w:val="99"/>
    <w:unhideWhenUsed w:val="1"/>
    <w:rsid w:val="00A63720"/>
    <w:rPr>
      <w:sz w:val="20"/>
      <w:szCs w:val="20"/>
    </w:rPr>
  </w:style>
  <w:style w:type="character" w:styleId="CommentTextChar" w:customStyle="1">
    <w:name w:val="Comment Text Char"/>
    <w:basedOn w:val="DefaultParagraphFont"/>
    <w:link w:val="CommentText"/>
    <w:uiPriority w:val="99"/>
    <w:rsid w:val="00A63720"/>
  </w:style>
  <w:style w:type="paragraph" w:styleId="CommentSubject">
    <w:name w:val="annotation subject"/>
    <w:basedOn w:val="CommentText"/>
    <w:next w:val="CommentText"/>
    <w:link w:val="CommentSubjectChar"/>
    <w:uiPriority w:val="99"/>
    <w:semiHidden w:val="1"/>
    <w:unhideWhenUsed w:val="1"/>
    <w:rsid w:val="00A63720"/>
    <w:rPr>
      <w:b w:val="1"/>
      <w:bCs w:val="1"/>
    </w:rPr>
  </w:style>
  <w:style w:type="character" w:styleId="CommentSubjectChar" w:customStyle="1">
    <w:name w:val="Comment Subject Char"/>
    <w:link w:val="CommentSubject"/>
    <w:uiPriority w:val="99"/>
    <w:semiHidden w:val="1"/>
    <w:rsid w:val="00A63720"/>
    <w:rPr>
      <w:b w:val="1"/>
      <w:bCs w:val="1"/>
    </w:rPr>
  </w:style>
  <w:style w:type="paragraph" w:styleId="BalloonText">
    <w:name w:val="Balloon Text"/>
    <w:basedOn w:val="Normal"/>
    <w:link w:val="BalloonTextChar"/>
    <w:uiPriority w:val="99"/>
    <w:semiHidden w:val="1"/>
    <w:unhideWhenUsed w:val="1"/>
    <w:rsid w:val="0045538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55388"/>
    <w:rPr>
      <w:rFonts w:ascii="Segoe UI" w:cs="Segoe UI" w:hAnsi="Segoe UI"/>
      <w:sz w:val="18"/>
      <w:szCs w:val="18"/>
    </w:rPr>
  </w:style>
  <w:style w:type="paragraph" w:styleId="EmphasisBold" w:customStyle="1">
    <w:name w:val="Emphasis Bold"/>
    <w:next w:val="BlockText"/>
    <w:qFormat w:val="1"/>
    <w:rsid w:val="008C34F1"/>
    <w:rPr>
      <w:rFonts w:ascii="Times New Roman" w:hAnsi="Times New Roman"/>
      <w:b w:val="1"/>
      <w:sz w:val="24"/>
    </w:rPr>
  </w:style>
  <w:style w:type="paragraph" w:styleId="BlockText">
    <w:name w:val="Block Text"/>
    <w:basedOn w:val="Normal"/>
    <w:uiPriority w:val="99"/>
    <w:semiHidden w:val="1"/>
    <w:unhideWhenUsed w:val="1"/>
    <w:rsid w:val="008C34F1"/>
    <w:pPr>
      <w:pBdr>
        <w:top w:color="4472c4" w:space="10" w:sz="2" w:themeColor="accent1" w:val="single"/>
        <w:left w:color="4472c4" w:space="10" w:sz="2" w:themeColor="accent1" w:val="single"/>
        <w:bottom w:color="4472c4" w:space="10" w:sz="2" w:themeColor="accent1" w:val="single"/>
        <w:right w:color="4472c4" w:space="10" w:sz="2" w:themeColor="accent1" w:val="single"/>
      </w:pBdr>
      <w:ind w:left="1152" w:right="1152"/>
    </w:pPr>
    <w:rPr>
      <w:rFonts w:asciiTheme="minorHAnsi" w:cstheme="minorBidi" w:eastAsiaTheme="minorEastAsia" w:hAnsiTheme="minorHAnsi"/>
      <w:i w:val="1"/>
      <w:iCs w:val="1"/>
      <w:color w:val="4472c4" w:themeColor="accent1"/>
    </w:rPr>
  </w:style>
  <w:style w:type="paragraph" w:styleId="ListBulletIndent" w:customStyle="1">
    <w:name w:val="List Bullet Indent"/>
    <w:basedOn w:val="ListBullet"/>
    <w:link w:val="ListBulletIndentChar"/>
    <w:rsid w:val="004C3A2F"/>
    <w:pPr>
      <w:ind w:left="720"/>
    </w:pPr>
  </w:style>
  <w:style w:type="paragraph" w:styleId="Revision">
    <w:name w:val="Revision"/>
    <w:hidden w:val="1"/>
    <w:uiPriority w:val="99"/>
    <w:semiHidden w:val="1"/>
    <w:rsid w:val="006422B6"/>
  </w:style>
  <w:style w:type="character" w:styleId="ListBulletChar" w:customStyle="1">
    <w:name w:val="List Bullet Char"/>
    <w:basedOn w:val="DefaultParagraphFont"/>
    <w:link w:val="ListBullet"/>
    <w:uiPriority w:val="99"/>
    <w:rsid w:val="0040131E"/>
    <w:rPr>
      <w:rFonts w:ascii="Times New Roman" w:hAnsi="Times New Roman"/>
      <w:sz w:val="24"/>
    </w:rPr>
  </w:style>
  <w:style w:type="character" w:styleId="ListBulletIndentChar" w:customStyle="1">
    <w:name w:val="List Bullet Indent Char"/>
    <w:basedOn w:val="ListBulletChar"/>
    <w:link w:val="ListBulletIndent"/>
    <w:rsid w:val="006064FD"/>
    <w:rPr>
      <w:rFonts w:ascii="Times New Roman" w:hAnsi="Times New Roman"/>
      <w:sz w:val="24"/>
      <w:szCs w:val="22"/>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40131E"/>
    <w:pPr>
      <w:widowControl w:val="0"/>
      <w:autoSpaceDE w:val="0"/>
      <w:autoSpaceDN w:val="0"/>
      <w:spacing w:after="0" w:line="240" w:lineRule="auto"/>
      <w:ind w:left="1059" w:hanging="360"/>
    </w:pPr>
  </w:style>
  <w:style w:type="character" w:styleId="UnresolvedMention2" w:customStyle="1">
    <w:name w:val="Unresolved Mention2"/>
    <w:basedOn w:val="DefaultParagraphFont"/>
    <w:uiPriority w:val="99"/>
    <w:semiHidden w:val="1"/>
    <w:unhideWhenUsed w:val="1"/>
    <w:rsid w:val="00DE54F5"/>
    <w:rPr>
      <w:color w:val="605e5c"/>
      <w:shd w:color="auto" w:fill="e1dfdd" w:val="clear"/>
    </w:rPr>
  </w:style>
  <w:style w:type="character" w:styleId="FollowedHyperlink">
    <w:name w:val="FollowedHyperlink"/>
    <w:basedOn w:val="DefaultParagraphFont"/>
    <w:uiPriority w:val="99"/>
    <w:semiHidden w:val="1"/>
    <w:unhideWhenUsed w:val="1"/>
    <w:rsid w:val="001B1389"/>
    <w:rPr>
      <w:color w:val="954f72" w:themeColor="followedHyperlink"/>
      <w:u w:val="single"/>
    </w:rPr>
  </w:style>
  <w:style w:type="paragraph" w:styleId="Subtitle">
    <w:name w:val="Subtitle"/>
    <w:basedOn w:val="Normal"/>
    <w:next w:val="Normal"/>
    <w:pPr>
      <w:spacing w:after="0" w:before="720" w:line="240" w:lineRule="auto"/>
      <w:jc w:val="center"/>
    </w:pPr>
    <w:rPr>
      <w:rFonts w:ascii="Times New Roman" w:cs="Times New Roman" w:eastAsia="Times New Roman" w:hAnsi="Times New Roman"/>
      <w:b w:val="1"/>
      <w:color w:val="002060"/>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anna.henry@memorialhermann.org" TargetMode="External"/><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mailto:anna.henry@memorialhermann.org"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www.ilru.org" TargetMode="External"/><Relationship Id="rId14" Type="http://schemas.openxmlformats.org/officeDocument/2006/relationships/hyperlink" Target="http://www.able-sc.org" TargetMode="External"/><Relationship Id="rId17" Type="http://schemas.openxmlformats.org/officeDocument/2006/relationships/hyperlink" Target="https://fedgov.dnb.com/webform/" TargetMode="External"/><Relationship Id="rId16" Type="http://schemas.openxmlformats.org/officeDocument/2006/relationships/hyperlink" Target="https://survey.alchemer.com/s3/6536178/CILs-CDC-Application" TargetMode="External"/><Relationship Id="rId5" Type="http://schemas.openxmlformats.org/officeDocument/2006/relationships/styles" Target="styles.xml"/><Relationship Id="rId19" Type="http://schemas.openxmlformats.org/officeDocument/2006/relationships/hyperlink" Target="https://www.sam.gov/SAM/pages/public/help/samQUserGuides.jsf" TargetMode="External"/><Relationship Id="rId6" Type="http://schemas.openxmlformats.org/officeDocument/2006/relationships/customXml" Target="../customXML/item1.xml"/><Relationship Id="rId18" Type="http://schemas.openxmlformats.org/officeDocument/2006/relationships/hyperlink" Target="http://www.sam.gov" TargetMode="Externa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05MaWwl5lPQnnei9DMIM/vAQg==">AMUW2mU9/yU1bAOVPJTUuoVyYDzOcPjTcp6A7e+ezYnFV9hfJW0mPIT8vCaAZjGaa1VScnqdyS39gtG5hhnigpwqBSvC7JxwKssm373ryvLy8smNUKypGrnJAKxupNFmLNoJnx5C5PH4HKmR1EimE7Ltm7EjYxd5Mw==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2022-01-07T18:41:00Z</dcterms:created>
  <dc:creator>Richard E. Petty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2021-09-17T20:25:04Z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ce2449c6-343d-4a64-a883-67b6e74cc506</vt:lpwstr>
  </property>
  <property fmtid="{D5CDD505-2E9C-101B-9397-08002B2CF9AE}" pid="8" name="MSIP_Label_7b94a7b8-f06c-4dfe-bdcc-9b548fd58c31_ContentBits">
    <vt:lpwstr>0</vt:lpwstr>
  </property>
</Properties>
</file>